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386" w:rsidRPr="00A50918" w:rsidRDefault="009A5386" w:rsidP="00A50918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A5091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NON-STEROIDAL ANTI-INFLAMMATORY DRUGS (NSAIDS): CARDIOVASCULAR EVENTS ARE RELATED PRIMARILY TO IMPACT OF NSAIDS ON BLOOD PRESSURE RATHER THAN TO COX SELECTIVITY</w:t>
      </w:r>
    </w:p>
    <w:p w:rsidR="00A50918" w:rsidRDefault="009A5386" w:rsidP="00A50918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5091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J.S. Borer</w:t>
      </w:r>
      <w:r w:rsidRPr="00A50918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vertAlign w:val="superscript"/>
        </w:rPr>
        <w:t>1,2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, F. PRECISION Trial Executive Committee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3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; 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1</w:t>
      </w:r>
      <w:r w:rsidR="00A50918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,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2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Cell Biology, Radiology, Public Health and Surgery, SUNY Downstate, New York, NY, USA</w:t>
      </w:r>
    </w:p>
    <w:p w:rsidR="009A5386" w:rsidRPr="000D7C71" w:rsidRDefault="009A5386" w:rsidP="00A50918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3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Multiple, Cleveland, OH, USA</w:t>
      </w:r>
    </w:p>
    <w:p w:rsidR="009A5386" w:rsidRPr="000D7C71" w:rsidRDefault="009A5386" w:rsidP="00A50918">
      <w:pPr>
        <w:spacing w:before="100" w:beforeAutospacing="1" w:after="100" w:afterAutospacing="1" w:line="200" w:lineRule="atLeast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Nonsteroidal anti-inflammatory drugs (NSAIDs), both non-selective and selective cyclooxygenase-2 (COX-2) inhibitors, are very widely prescribed, but they may cause increased blood pressure (BP) and adverse cardiovascular (CV) events. PRECISION-ABPM, a </w:t>
      </w:r>
      <w:proofErr w:type="gram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4 month</w:t>
      </w:r>
      <w:proofErr w:type="gram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double-blind, non-inferiority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substudy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of PRECISION, was conducted in 444 pts (mean age 62±10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yrs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) with osteo- or rheumatoid arthritis with relatively high CAD risk at 60 sites to determine BP effects (by 24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hr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ABP) of the selective COX-2 inhibitor celecoxib (100-200mg bid) vs. the non-selective NSAIDs naproxen (375-500mg bid) and ibuprofen (600-800mg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tid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).</w:t>
      </w:r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 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The change in mean 24-hour SBP with celecoxib, ibuprofen and naproxen was -0.3mmHg (95% CI, -2.25, 1.74), 3.7 (95% CI, 1.72, 5.58) and 1.6mmHg (95% CI, -0.40, 3.57), respectively. BP difference was -3.9mmHg (p=0.009) between celecoxib and ibuprofen, -1.8mmHg (p=0.12) between celecoxib and naproxen, and -2.1mmHg (p=0.08) between naproxen and ibuprofen. The percentage of patients with normal baseline BP who developed hypertension was 23.2% for ibuprofen, 19.0% for naproxen and 10.3% for celecoxib (odds ratio 0.39, p=0.004 and odds ratio 0.49, p=0.03 vs. ibuprofen and naproxen, respectively). In PRECISION-ABPM, allocation to the non-selective NSAID ibuprofen, compared with the COX-2 selective inhibitor celecoxib associated with a significant increase of systolic BP, and a higher incidence of new-on</w:t>
      </w:r>
      <w:bookmarkStart w:id="0" w:name="_GoBack"/>
      <w:bookmarkEnd w:id="0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set hypertension.</w:t>
      </w:r>
    </w:p>
    <w:p w:rsidR="009A5386" w:rsidRPr="000D7C71" w:rsidRDefault="009A5386" w:rsidP="009A5386">
      <w:pPr>
        <w:rPr>
          <w:rFonts w:asciiTheme="majorBidi" w:eastAsia="Times New Roman" w:hAnsiTheme="majorBidi" w:cstheme="majorBidi"/>
          <w:sz w:val="24"/>
          <w:szCs w:val="24"/>
        </w:rPr>
      </w:pPr>
    </w:p>
    <w:p w:rsidR="00345DBB" w:rsidRDefault="00275587"/>
    <w:sectPr w:rsidR="00345D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587" w:rsidRDefault="00275587" w:rsidP="00A50918">
      <w:r>
        <w:separator/>
      </w:r>
    </w:p>
  </w:endnote>
  <w:endnote w:type="continuationSeparator" w:id="0">
    <w:p w:rsidR="00275587" w:rsidRDefault="00275587" w:rsidP="00A5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587" w:rsidRDefault="00275587" w:rsidP="00A50918">
      <w:r>
        <w:separator/>
      </w:r>
    </w:p>
  </w:footnote>
  <w:footnote w:type="continuationSeparator" w:id="0">
    <w:p w:rsidR="00275587" w:rsidRDefault="00275587" w:rsidP="00A50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918" w:rsidRPr="000D7C71" w:rsidRDefault="00A50918" w:rsidP="00A50918">
    <w:pPr>
      <w:rPr>
        <w:rFonts w:asciiTheme="majorBidi" w:eastAsia="Times New Roman" w:hAnsiTheme="majorBidi" w:cstheme="majorBidi"/>
        <w:color w:val="000000"/>
        <w:sz w:val="24"/>
        <w:szCs w:val="24"/>
      </w:rPr>
    </w:pPr>
    <w:r w:rsidRPr="000D7C71">
      <w:rPr>
        <w:rFonts w:asciiTheme="majorBidi" w:eastAsia="Times New Roman" w:hAnsiTheme="majorBidi" w:cstheme="majorBidi"/>
        <w:color w:val="000000"/>
        <w:sz w:val="24"/>
        <w:szCs w:val="24"/>
      </w:rPr>
      <w:t>18-IS-29-IAC</w:t>
    </w:r>
  </w:p>
  <w:p w:rsidR="00A50918" w:rsidRPr="000D7C71" w:rsidRDefault="00A50918" w:rsidP="00A50918">
    <w:pPr>
      <w:rPr>
        <w:rFonts w:asciiTheme="majorBidi" w:eastAsia="Times New Roman" w:hAnsiTheme="majorBidi" w:cstheme="majorBidi"/>
        <w:color w:val="000000"/>
        <w:sz w:val="24"/>
        <w:szCs w:val="24"/>
      </w:rPr>
    </w:pPr>
    <w:r w:rsidRPr="000D7C71">
      <w:rPr>
        <w:rFonts w:asciiTheme="majorBidi" w:eastAsia="Times New Roman" w:hAnsiTheme="majorBidi" w:cstheme="majorBidi"/>
        <w:color w:val="000000"/>
        <w:sz w:val="24"/>
        <w:szCs w:val="24"/>
      </w:rPr>
      <w:t>10. Cardiovascular Pharmacology and Drug Therapy</w:t>
    </w:r>
  </w:p>
  <w:p w:rsidR="00A50918" w:rsidRDefault="00A50918">
    <w:pPr>
      <w:pStyle w:val="Header"/>
    </w:pPr>
  </w:p>
  <w:p w:rsidR="00A50918" w:rsidRDefault="00A509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86"/>
    <w:rsid w:val="00275587"/>
    <w:rsid w:val="0030401F"/>
    <w:rsid w:val="008A10D5"/>
    <w:rsid w:val="009A5386"/>
    <w:rsid w:val="00A128E1"/>
    <w:rsid w:val="00A50918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B7447"/>
  <w15:chartTrackingRefBased/>
  <w15:docId w15:val="{F8A44CB2-CF42-4B57-AE8D-1595D930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918"/>
  </w:style>
  <w:style w:type="paragraph" w:styleId="Footer">
    <w:name w:val="footer"/>
    <w:basedOn w:val="Normal"/>
    <w:link w:val="FooterChar"/>
    <w:uiPriority w:val="99"/>
    <w:unhideWhenUsed/>
    <w:rsid w:val="00A50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2018-05-16T11:37:00Z</dcterms:created>
  <dcterms:modified xsi:type="dcterms:W3CDTF">2018-05-16T11:40:00Z</dcterms:modified>
</cp:coreProperties>
</file>